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8" w:type="pct"/>
            <w:noWrap w:val="0"/>
            <w:vAlign w:val="center"/>
          </w:tcPr>
          <w:p>
            <w:pPr>
              <w:keepNext w:val="0"/>
              <w:keepLines w:val="0"/>
              <w:pageBreakBefore w:val="0"/>
              <w:kinsoku/>
              <w:overflowPunct/>
              <w:topLinePunct w:val="0"/>
              <w:autoSpaceDE/>
              <w:autoSpaceDN/>
              <w:bidi w:val="0"/>
              <w:snapToGrid w:val="0"/>
              <w:spacing w:line="360" w:lineRule="exact"/>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1" w:type="pct"/>
            <w:noWrap w:val="0"/>
            <w:vAlign w:val="center"/>
          </w:tcPr>
          <w:p>
            <w:pPr>
              <w:keepNext w:val="0"/>
              <w:keepLines w:val="0"/>
              <w:pageBreakBefore w:val="0"/>
              <w:kinsoku/>
              <w:overflowPunct/>
              <w:topLinePunct w:val="0"/>
              <w:autoSpaceDE/>
              <w:autoSpaceDN/>
              <w:bidi w:val="0"/>
              <w:snapToGrid w:val="0"/>
              <w:spacing w:line="36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cs="Times New Roman"/>
                <w:color w:val="auto"/>
                <w:sz w:val="24"/>
                <w:szCs w:val="24"/>
                <w:lang w:val="en-US" w:eastAsia="zh-CN"/>
              </w:rPr>
              <w:t>包</w:t>
            </w:r>
          </w:p>
        </w:tc>
        <w:tc>
          <w:tcPr>
            <w:tcW w:w="4211" w:type="pct"/>
            <w:noWrap w:val="0"/>
            <w:vAlign w:val="center"/>
          </w:tcPr>
          <w:p>
            <w:pPr>
              <w:pStyle w:val="5"/>
              <w:spacing w:line="360" w:lineRule="auto"/>
              <w:rPr>
                <w:rFonts w:hint="default"/>
                <w:lang w:val="en-US" w:eastAsia="zh-CN"/>
              </w:rPr>
            </w:pPr>
            <w:r>
              <w:rPr>
                <w:rFonts w:hint="eastAsia"/>
                <w:lang w:val="en-US"/>
              </w:rPr>
              <w:t>具有独立法人资格，具备有效的营业执照。</w:t>
            </w:r>
          </w:p>
        </w:tc>
      </w:tr>
    </w:tbl>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附录2 资格审查条件（财务最低要求）</w:t>
      </w:r>
    </w:p>
    <w:p>
      <w:pPr>
        <w:pStyle w:val="5"/>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1116" w:type="dxa"/>
            <w:noWrap w:val="0"/>
            <w:vAlign w:val="center"/>
          </w:tcPr>
          <w:p>
            <w:pPr>
              <w:keepNext w:val="0"/>
              <w:keepLines w:val="0"/>
              <w:pageBreakBefore w:val="0"/>
              <w:kinsoku/>
              <w:overflowPunct/>
              <w:topLinePunct w:val="0"/>
              <w:autoSpaceDE/>
              <w:autoSpaceDN/>
              <w:bidi w:val="0"/>
              <w:snapToGrid w:val="0"/>
              <w:spacing w:line="3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8075" w:type="dxa"/>
            <w:noWrap w:val="0"/>
            <w:vAlign w:val="center"/>
          </w:tcPr>
          <w:p>
            <w:pPr>
              <w:keepNext w:val="0"/>
              <w:keepLines w:val="0"/>
              <w:pageBreakBefore w:val="0"/>
              <w:kinsoku/>
              <w:overflowPunct/>
              <w:topLinePunct w:val="0"/>
              <w:autoSpaceDE/>
              <w:autoSpaceDN/>
              <w:bidi w:val="0"/>
              <w:snapToGrid w:val="0"/>
              <w:spacing w:line="3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116"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eastAsia" w:cs="Times New Roman"/>
                <w:color w:val="auto"/>
                <w:lang w:val="en-US" w:eastAsia="zh-CN"/>
              </w:rPr>
              <w:t>1</w:t>
            </w:r>
            <w:r>
              <w:rPr>
                <w:rFonts w:hint="default" w:ascii="Times New Roman" w:hAnsi="Times New Roman" w:cs="Times New Roman"/>
                <w:color w:val="auto"/>
                <w:lang w:val="en-US" w:eastAsia="zh-CN"/>
              </w:rPr>
              <w:t>包</w:t>
            </w:r>
          </w:p>
        </w:tc>
        <w:tc>
          <w:tcPr>
            <w:tcW w:w="8075" w:type="dxa"/>
            <w:noWrap w:val="0"/>
            <w:vAlign w:val="center"/>
          </w:tcPr>
          <w:p>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申请日前3个月内（202</w:t>
            </w:r>
            <w:r>
              <w:rPr>
                <w:rFonts w:hint="eastAsia"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10月</w:t>
            </w:r>
            <w:r>
              <w:rPr>
                <w:rFonts w:hint="default" w:ascii="Times New Roman" w:hAnsi="Times New Roman" w:eastAsia="宋体" w:cs="Times New Roman"/>
                <w:i w:val="0"/>
                <w:color w:val="000000"/>
                <w:kern w:val="0"/>
                <w:sz w:val="24"/>
                <w:szCs w:val="22"/>
                <w:highlight w:val="none"/>
                <w:u w:val="none"/>
                <w:lang w:val="en-US" w:eastAsia="zh-CN" w:bidi="ar"/>
              </w:rPr>
              <w:t>、202</w:t>
            </w:r>
            <w:r>
              <w:rPr>
                <w:rFonts w:hint="eastAsia"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11</w:t>
            </w:r>
            <w:r>
              <w:rPr>
                <w:rFonts w:hint="default" w:ascii="Times New Roman" w:hAnsi="Times New Roman" w:eastAsia="宋体" w:cs="Times New Roman"/>
                <w:i w:val="0"/>
                <w:color w:val="000000"/>
                <w:kern w:val="0"/>
                <w:sz w:val="24"/>
                <w:szCs w:val="22"/>
                <w:highlight w:val="none"/>
                <w:u w:val="none"/>
                <w:lang w:val="en-US" w:eastAsia="zh-CN" w:bidi="ar"/>
              </w:rPr>
              <w:t>月、202</w:t>
            </w:r>
            <w:r>
              <w:rPr>
                <w:rFonts w:hint="eastAsia"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12</w:t>
            </w:r>
            <w:r>
              <w:rPr>
                <w:rFonts w:hint="default" w:ascii="Times New Roman" w:hAnsi="Times New Roman" w:eastAsia="宋体" w:cs="Times New Roman"/>
                <w:i w:val="0"/>
                <w:color w:val="000000"/>
                <w:kern w:val="0"/>
                <w:sz w:val="24"/>
                <w:szCs w:val="22"/>
                <w:highlight w:val="none"/>
                <w:u w:val="none"/>
                <w:lang w:val="en-US" w:eastAsia="zh-CN" w:bidi="ar"/>
              </w:rPr>
              <w:t>月）的单位账户流水证明，每月月末账户余额平均值不少于</w:t>
            </w:r>
            <w:r>
              <w:rPr>
                <w:rFonts w:hint="eastAsia" w:cs="Times New Roman"/>
                <w:i w:val="0"/>
                <w:color w:val="000000"/>
                <w:kern w:val="0"/>
                <w:sz w:val="24"/>
                <w:szCs w:val="22"/>
                <w:highlight w:val="none"/>
                <w:u w:val="none"/>
                <w:lang w:val="en-US" w:eastAsia="zh-CN" w:bidi="ar"/>
              </w:rPr>
              <w:t>1</w:t>
            </w:r>
            <w:r>
              <w:rPr>
                <w:rFonts w:hint="default" w:ascii="Times New Roman" w:hAnsi="Times New Roman" w:eastAsia="宋体" w:cs="Times New Roman"/>
                <w:i w:val="0"/>
                <w:color w:val="000000"/>
                <w:kern w:val="0"/>
                <w:sz w:val="24"/>
                <w:szCs w:val="22"/>
                <w:highlight w:val="none"/>
                <w:u w:val="none"/>
                <w:lang w:val="en-US" w:eastAsia="zh-CN" w:bidi="ar"/>
              </w:rPr>
              <w:t>万元。</w:t>
            </w:r>
          </w:p>
        </w:tc>
      </w:tr>
    </w:tbl>
    <w:p>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8" w:hRule="atLeast"/>
          <w:jc w:val="center"/>
        </w:trPr>
        <w:tc>
          <w:tcPr>
            <w:tcW w:w="1398" w:type="dxa"/>
            <w:noWrap w:val="0"/>
            <w:vAlign w:val="center"/>
          </w:tcPr>
          <w:p>
            <w:pPr>
              <w:keepNext w:val="0"/>
              <w:keepLines w:val="0"/>
              <w:pageBreakBefore w:val="0"/>
              <w:kinsoku/>
              <w:overflowPunct/>
              <w:topLinePunct w:val="0"/>
              <w:autoSpaceDE/>
              <w:autoSpaceDN/>
              <w:bidi w:val="0"/>
              <w:snapToGrid w:val="0"/>
              <w:spacing w:line="3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793" w:type="dxa"/>
            <w:noWrap w:val="0"/>
            <w:vAlign w:val="center"/>
          </w:tcPr>
          <w:p>
            <w:pPr>
              <w:keepNext w:val="0"/>
              <w:keepLines w:val="0"/>
              <w:pageBreakBefore w:val="0"/>
              <w:kinsoku/>
              <w:overflowPunct/>
              <w:topLinePunct w:val="0"/>
              <w:autoSpaceDE/>
              <w:autoSpaceDN/>
              <w:bidi w:val="0"/>
              <w:snapToGrid w:val="0"/>
              <w:spacing w:line="3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398"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eastAsia" w:cs="Times New Roman"/>
                <w:color w:val="auto"/>
                <w:lang w:val="en-US" w:eastAsia="zh-CN"/>
              </w:rPr>
              <w:t>1</w:t>
            </w:r>
            <w:r>
              <w:rPr>
                <w:rFonts w:hint="default" w:ascii="Times New Roman" w:hAnsi="Times New Roman" w:cs="Times New Roman"/>
                <w:color w:val="auto"/>
                <w:lang w:val="en-US" w:eastAsia="zh-CN"/>
              </w:rPr>
              <w:t>包</w:t>
            </w:r>
          </w:p>
        </w:tc>
        <w:tc>
          <w:tcPr>
            <w:tcW w:w="7793" w:type="dxa"/>
            <w:noWrap w:val="0"/>
            <w:vAlign w:val="center"/>
          </w:tcPr>
          <w:p>
            <w:pPr>
              <w:keepNext w:val="0"/>
              <w:keepLines w:val="0"/>
              <w:pageBreakBefore w:val="0"/>
              <w:kinsoku/>
              <w:overflowPunct/>
              <w:topLinePunct w:val="0"/>
              <w:autoSpaceDE/>
              <w:autoSpaceDN/>
              <w:bidi w:val="0"/>
              <w:spacing w:line="360" w:lineRule="auto"/>
              <w:jc w:val="left"/>
              <w:rPr>
                <w:rFonts w:hint="default" w:ascii="Times New Roman" w:hAnsi="Times New Roman" w:cs="Times New Roman"/>
                <w:color w:val="auto"/>
                <w:sz w:val="28"/>
                <w:szCs w:val="28"/>
              </w:rPr>
            </w:pPr>
            <w:r>
              <w:rPr>
                <w:rFonts w:hint="eastAsia"/>
                <w:color w:val="auto"/>
                <w:highlight w:val="none"/>
                <w:lang w:val="en-US" w:eastAsia="zh-CN"/>
              </w:rPr>
              <w:t>近五年类有一项类似材料的供应业绩。</w:t>
            </w:r>
          </w:p>
        </w:tc>
      </w:tr>
    </w:tbl>
    <w:p>
      <w:pPr>
        <w:pStyle w:val="9"/>
        <w:keepNext w:val="0"/>
        <w:keepLines w:val="0"/>
        <w:pageBreakBefore w:val="0"/>
        <w:kinsoku/>
        <w:overflowPunct/>
        <w:topLinePunct w:val="0"/>
        <w:autoSpaceDE/>
        <w:autoSpaceDN/>
        <w:bidi w:val="0"/>
        <w:spacing w:line="360" w:lineRule="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注：</w:t>
      </w:r>
      <w:r>
        <w:rPr>
          <w:rFonts w:hint="default" w:ascii="Times New Roman" w:hAnsi="Times New Roman" w:eastAsia="黑体" w:cs="Times New Roman"/>
          <w:color w:val="auto"/>
          <w:kern w:val="0"/>
          <w:lang w:val="en-US" w:eastAsia="zh-CN"/>
        </w:rPr>
        <w:t>1.</w:t>
      </w:r>
      <w:r>
        <w:rPr>
          <w:rFonts w:hint="default" w:ascii="Times New Roman" w:hAnsi="Times New Roman" w:eastAsia="黑体" w:cs="Times New Roman"/>
          <w:color w:val="auto"/>
          <w:kern w:val="0"/>
        </w:rPr>
        <w:t>申请人应填写近</w:t>
      </w:r>
      <w:r>
        <w:rPr>
          <w:rFonts w:hint="default" w:ascii="Times New Roman" w:hAnsi="Times New Roman" w:eastAsia="黑体" w:cs="Times New Roman"/>
          <w:color w:val="auto"/>
          <w:kern w:val="0"/>
          <w:lang w:val="en-US" w:eastAsia="zh-CN"/>
        </w:rPr>
        <w:t>3</w:t>
      </w:r>
      <w:r>
        <w:rPr>
          <w:rFonts w:hint="default" w:ascii="Times New Roman" w:hAnsi="Times New Roman" w:eastAsia="黑体" w:cs="Times New Roman"/>
          <w:color w:val="auto"/>
          <w:kern w:val="0"/>
        </w:rPr>
        <w:t>年来承担的类似项目业绩，并提供</w:t>
      </w:r>
      <w:r>
        <w:rPr>
          <w:rFonts w:hint="eastAsia" w:eastAsia="黑体" w:cs="Times New Roman"/>
          <w:color w:val="auto"/>
          <w:kern w:val="0"/>
          <w:lang w:eastAsia="zh-CN"/>
        </w:rPr>
        <w:t>相关证明资料，证明其能满足业绩最低要求，</w:t>
      </w:r>
      <w:r>
        <w:rPr>
          <w:rFonts w:hint="default" w:ascii="Times New Roman" w:hAnsi="Times New Roman" w:eastAsia="黑体" w:cs="Times New Roman"/>
          <w:color w:val="auto"/>
          <w:kern w:val="0"/>
        </w:rPr>
        <w:t>如合同协议书</w:t>
      </w:r>
      <w:r>
        <w:rPr>
          <w:rFonts w:hint="eastAsia" w:eastAsia="黑体" w:cs="Times New Roman"/>
          <w:color w:val="auto"/>
          <w:kern w:val="0"/>
          <w:lang w:eastAsia="zh-CN"/>
        </w:rPr>
        <w:t>等。</w:t>
      </w:r>
    </w:p>
    <w:p>
      <w:pPr>
        <w:keepNext w:val="0"/>
        <w:keepLines w:val="0"/>
        <w:pageBreakBefore w:val="0"/>
        <w:kinsoku/>
        <w:overflowPunct/>
        <w:topLinePunct w:val="0"/>
        <w:autoSpaceDE/>
        <w:autoSpaceDN/>
        <w:bidi w:val="0"/>
        <w:spacing w:line="360" w:lineRule="auto"/>
        <w:jc w:val="both"/>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lang w:val="en-US"/>
              </w:rPr>
            </w:pPr>
            <w:r>
              <w:rPr>
                <w:rFonts w:hint="default" w:ascii="Times New Roman" w:hAnsi="Times New Roman" w:cs="Times New Roman"/>
                <w:color w:val="auto"/>
                <w:lang w:val="en-US" w:eastAsia="zh-CN"/>
              </w:rPr>
              <w:t>1包</w:t>
            </w:r>
          </w:p>
        </w:tc>
        <w:tc>
          <w:tcPr>
            <w:tcW w:w="7073"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2、处于被交通运输部或湖北省交通运输主管部门做出禁止进入公路建设市场的处罚且处于有效期内；</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3、存在下列不良状况或不良信用记录：</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eastAsia"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hint="eastAsia" w:ascii="宋体" w:hAnsi="宋体" w:cs="宋体"/>
              </w:rPr>
              <w:t>其他在“信用中国”网站（http：//www.creditchina.gov.cn／）中被列为严重失信主体名单，且按联合惩戒要求禁止参与招投标的</w:t>
            </w:r>
            <w:r>
              <w:rPr>
                <w:rFonts w:ascii="宋体" w:hAnsi="宋体" w:eastAsia="宋体" w:cs="宋体"/>
                <w:sz w:val="24"/>
                <w:szCs w:val="24"/>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360" w:lineRule="auto"/>
              <w:ind w:left="0" w:right="0" w:firstLine="0" w:firstLineChars="0"/>
              <w:jc w:val="both"/>
              <w:rPr>
                <w:rFonts w:hint="default" w:ascii="Times New Roman" w:hAnsi="Times New Roman" w:eastAsia="宋体" w:cs="Times New Roman"/>
                <w:i w:val="0"/>
                <w:caps w:val="0"/>
                <w:color w:val="auto"/>
                <w:spacing w:val="0"/>
                <w:sz w:val="24"/>
                <w:szCs w:val="22"/>
                <w:highlight w:val="none"/>
                <w:lang w:bidi="ar"/>
              </w:rPr>
            </w:pPr>
            <w:r>
              <w:rPr>
                <w:rFonts w:hint="default" w:ascii="Times New Roman" w:hAnsi="Times New Roman" w:eastAsia="宋体" w:cs="Times New Roman"/>
                <w:i w:val="0"/>
                <w:caps w:val="0"/>
                <w:color w:val="auto"/>
                <w:spacing w:val="0"/>
                <w:sz w:val="24"/>
                <w:szCs w:val="22"/>
                <w:highlight w:val="none"/>
                <w:lang w:bidi="ar"/>
              </w:rPr>
              <w:t>（5）上一年度被列入</w:t>
            </w:r>
            <w:r>
              <w:rPr>
                <w:rFonts w:hint="eastAsia" w:cs="Times New Roman"/>
                <w:i w:val="0"/>
                <w:caps w:val="0"/>
                <w:color w:val="auto"/>
                <w:spacing w:val="0"/>
                <w:sz w:val="24"/>
                <w:szCs w:val="22"/>
                <w:highlight w:val="none"/>
                <w:lang w:val="en-US" w:eastAsia="zh-CN" w:bidi="ar"/>
              </w:rPr>
              <w:t>建设集团或采购人</w:t>
            </w:r>
            <w:r>
              <w:rPr>
                <w:rFonts w:hint="default" w:ascii="Times New Roman" w:hAnsi="Times New Roman" w:eastAsia="宋体" w:cs="Times New Roman"/>
                <w:i w:val="0"/>
                <w:caps w:val="0"/>
                <w:color w:val="auto"/>
                <w:spacing w:val="0"/>
                <w:sz w:val="24"/>
                <w:szCs w:val="22"/>
                <w:highlight w:val="none"/>
                <w:lang w:bidi="ar"/>
              </w:rPr>
              <w:t>D级资源库</w:t>
            </w:r>
            <w:r>
              <w:rPr>
                <w:rFonts w:hint="eastAsia" w:cs="Times New Roman"/>
                <w:i w:val="0"/>
                <w:caps w:val="0"/>
                <w:color w:val="auto"/>
                <w:spacing w:val="0"/>
                <w:sz w:val="24"/>
                <w:szCs w:val="22"/>
                <w:highlight w:val="none"/>
                <w:lang w:val="en-US" w:eastAsia="zh-CN" w:bidi="ar"/>
              </w:rPr>
              <w:t>且处于处罚期内</w:t>
            </w:r>
            <w:r>
              <w:rPr>
                <w:rFonts w:hint="default" w:ascii="Times New Roman" w:hAnsi="Times New Roman" w:eastAsia="宋体" w:cs="Times New Roman"/>
                <w:i w:val="0"/>
                <w:caps w:val="0"/>
                <w:color w:val="auto"/>
                <w:spacing w:val="0"/>
                <w:sz w:val="24"/>
                <w:szCs w:val="22"/>
                <w:highlight w:val="none"/>
                <w:lang w:bidi="ar"/>
              </w:rPr>
              <w:t>的协作单位；</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24"/>
                <w:szCs w:val="22"/>
                <w:highlight w:val="none"/>
                <w:lang w:bidi="ar"/>
              </w:rPr>
              <w:t>（6）近三年度被列入</w:t>
            </w:r>
            <w:r>
              <w:rPr>
                <w:rFonts w:hint="eastAsia" w:cs="Times New Roman"/>
                <w:i w:val="0"/>
                <w:caps w:val="0"/>
                <w:color w:val="auto"/>
                <w:spacing w:val="0"/>
                <w:sz w:val="24"/>
                <w:szCs w:val="22"/>
                <w:highlight w:val="none"/>
                <w:lang w:val="en-US" w:eastAsia="zh-CN" w:bidi="ar"/>
              </w:rPr>
              <w:t>建设集团或采购人</w:t>
            </w:r>
            <w:r>
              <w:rPr>
                <w:rFonts w:hint="default" w:ascii="Times New Roman" w:hAnsi="Times New Roman" w:eastAsia="宋体" w:cs="Times New Roman"/>
                <w:i w:val="0"/>
                <w:caps w:val="0"/>
                <w:color w:val="auto"/>
                <w:spacing w:val="0"/>
                <w:sz w:val="24"/>
                <w:szCs w:val="22"/>
                <w:highlight w:val="none"/>
                <w:lang w:bidi="ar"/>
              </w:rPr>
              <w:t>Z级资源库</w:t>
            </w:r>
            <w:r>
              <w:rPr>
                <w:rFonts w:hint="eastAsia" w:cs="Times New Roman"/>
                <w:i w:val="0"/>
                <w:caps w:val="0"/>
                <w:color w:val="auto"/>
                <w:spacing w:val="0"/>
                <w:sz w:val="24"/>
                <w:szCs w:val="22"/>
                <w:highlight w:val="none"/>
                <w:lang w:val="en-US" w:eastAsia="zh-CN" w:bidi="ar"/>
              </w:rPr>
              <w:t>且处于处罚期内</w:t>
            </w:r>
            <w:r>
              <w:rPr>
                <w:rFonts w:hint="default" w:ascii="Times New Roman" w:hAnsi="Times New Roman" w:eastAsia="宋体" w:cs="Times New Roman"/>
                <w:i w:val="0"/>
                <w:caps w:val="0"/>
                <w:color w:val="auto"/>
                <w:spacing w:val="0"/>
                <w:sz w:val="24"/>
                <w:szCs w:val="22"/>
                <w:highlight w:val="none"/>
                <w:lang w:bidi="ar"/>
              </w:rPr>
              <w:t>的协作单位。</w:t>
            </w:r>
          </w:p>
        </w:tc>
      </w:tr>
    </w:tbl>
    <w:p>
      <w:pPr>
        <w:pStyle w:val="5"/>
        <w:keepNext w:val="0"/>
        <w:keepLines w:val="0"/>
        <w:pageBreakBefore w:val="0"/>
        <w:kinsoku/>
        <w:overflowPunct/>
        <w:topLinePunct w:val="0"/>
        <w:autoSpaceDE/>
        <w:autoSpaceDN/>
        <w:bidi w:val="0"/>
        <w:spacing w:after="0" w:line="360" w:lineRule="auto"/>
        <w:ind w:left="0" w:leftChars="0" w:firstLine="0" w:firstLineChars="0"/>
        <w:rPr>
          <w:rFonts w:hint="eastAsia"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r>
        <w:rPr>
          <w:rFonts w:hint="eastAsia" w:eastAsia="黑体" w:cs="Times New Roman"/>
          <w:color w:val="auto"/>
          <w:sz w:val="21"/>
          <w:szCs w:val="21"/>
          <w:lang w:eastAsia="zh-CN"/>
        </w:rPr>
        <w:t>。</w:t>
      </w:r>
    </w:p>
    <w:p>
      <w:pPr>
        <w:pStyle w:val="5"/>
        <w:keepNext w:val="0"/>
        <w:keepLines w:val="0"/>
        <w:pageBreakBefore w:val="0"/>
        <w:numPr>
          <w:ilvl w:val="0"/>
          <w:numId w:val="1"/>
        </w:numPr>
        <w:kinsoku/>
        <w:overflowPunct/>
        <w:topLinePunct w:val="0"/>
        <w:autoSpaceDE/>
        <w:autoSpaceDN/>
        <w:bidi w:val="0"/>
        <w:spacing w:line="360" w:lineRule="auto"/>
        <w:ind w:left="0" w:leftChars="0" w:firstLine="480" w:firstLineChars="200"/>
        <w:rPr>
          <w:rFonts w:hint="default" w:ascii="Times New Roman" w:hAnsi="Times New Roman" w:cs="Times New Roman"/>
          <w:color w:val="auto"/>
          <w:sz w:val="32"/>
          <w:szCs w:val="32"/>
          <w:lang w:val="en-US" w:eastAsia="zh-CN"/>
        </w:rPr>
      </w:pPr>
      <w:r>
        <w:rPr>
          <w:rFonts w:hint="default" w:ascii="Times New Roman" w:hAnsi="Times New Roman" w:eastAsia="黑体" w:cs="Times New Roman"/>
          <w:lang w:val="en-US" w:eastAsia="zh-CN"/>
        </w:rPr>
        <w:br w:type="page"/>
      </w:r>
    </w:p>
    <w:p>
      <w:pPr>
        <w:pStyle w:val="4"/>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2</w:t>
      </w: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eastAsia"/>
          <w:b/>
          <w:bCs/>
          <w:color w:val="auto"/>
          <w:spacing w:val="-6"/>
          <w:sz w:val="32"/>
          <w:szCs w:val="32"/>
          <w:highlight w:val="none"/>
        </w:rPr>
        <w:t>栾卢豫陕LLYSSG-1项目</w:t>
      </w:r>
      <w:r>
        <w:rPr>
          <w:rFonts w:hint="default"/>
          <w:b/>
          <w:bCs/>
          <w:color w:val="auto"/>
          <w:spacing w:val="-6"/>
          <w:sz w:val="32"/>
          <w:szCs w:val="32"/>
          <w:highlight w:val="none"/>
        </w:rPr>
        <w:t>环氧树脂灌浆料</w:t>
      </w:r>
      <w:r>
        <w:rPr>
          <w:rFonts w:hint="eastAsia" w:cs="Times New Roman"/>
          <w:b/>
          <w:bCs/>
          <w:color w:val="auto"/>
          <w:spacing w:val="-6"/>
          <w:sz w:val="32"/>
          <w:szCs w:val="32"/>
          <w:highlight w:val="none"/>
          <w:lang w:val="en-US" w:eastAsia="zh-CN"/>
        </w:rPr>
        <w:t>采购</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default" w:ascii="Times New Roman" w:hAnsi="Times New Roman" w:cs="Times New Roman"/>
          <w:b/>
          <w:bCs/>
          <w:color w:val="auto"/>
          <w:sz w:val="32"/>
          <w:szCs w:val="32"/>
          <w:highlight w:val="none"/>
          <w:u w:val="single"/>
          <w:lang w:val="en-US" w:eastAsia="zh-CN"/>
        </w:rPr>
        <w:t xml:space="preserve"> </w:t>
      </w:r>
      <w:r>
        <w:rPr>
          <w:rFonts w:hint="eastAsia" w:cs="Times New Roman"/>
          <w:b/>
          <w:bCs/>
          <w:color w:val="auto"/>
          <w:sz w:val="32"/>
          <w:szCs w:val="32"/>
          <w:highlight w:val="none"/>
          <w:u w:val="single"/>
          <w:lang w:val="en-US" w:eastAsia="zh-CN"/>
        </w:rPr>
        <w:t>1</w:t>
      </w:r>
      <w:r>
        <w:rPr>
          <w:rFonts w:hint="default" w:ascii="Times New Roman" w:hAnsi="Times New Roman" w:cs="Times New Roman"/>
          <w:b/>
          <w:bCs/>
          <w:color w:val="auto"/>
          <w:sz w:val="32"/>
          <w:szCs w:val="32"/>
          <w:highlight w:val="none"/>
          <w:u w:val="single"/>
          <w:lang w:val="en-US" w:eastAsia="zh-CN"/>
        </w:rPr>
        <w:t xml:space="preserve"> </w:t>
      </w:r>
      <w:r>
        <w:rPr>
          <w:rFonts w:hint="default" w:ascii="Times New Roman" w:hAnsi="Times New Roman" w:cs="Times New Roman"/>
          <w:b/>
          <w:bCs/>
          <w:color w:val="auto"/>
          <w:sz w:val="32"/>
          <w:szCs w:val="32"/>
          <w:highlight w:val="none"/>
          <w:u w:val="none"/>
          <w:lang w:val="en-US" w:eastAsia="zh-CN"/>
        </w:rPr>
        <w:t>合同包</w:t>
      </w:r>
      <w:r>
        <w:rPr>
          <w:rFonts w:hint="default" w:ascii="Times New Roman" w:hAnsi="Times New Roman" w:cs="Times New Roman"/>
          <w:b/>
          <w:bCs/>
          <w:color w:val="auto"/>
          <w:sz w:val="32"/>
          <w:szCs w:val="32"/>
          <w:highlight w:val="none"/>
          <w:lang w:val="en-US" w:eastAsia="zh-CN"/>
        </w:rPr>
        <w:t>申请单位报名登记表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eastAsia" w:cs="Times New Roman"/>
                <w:b w:val="0"/>
                <w:color w:val="auto"/>
                <w:sz w:val="24"/>
                <w:szCs w:val="22"/>
                <w:vertAlign w:val="baseline"/>
                <w:lang w:val="en-US" w:eastAsia="zh-CN"/>
              </w:rPr>
              <w:t>询比采购</w:t>
            </w:r>
            <w:r>
              <w:rPr>
                <w:rFonts w:hint="default" w:ascii="Times New Roman" w:hAnsi="Times New Roman" w:eastAsia="宋体" w:cs="Times New Roman"/>
                <w:b w:val="0"/>
                <w:color w:val="auto"/>
                <w:sz w:val="24"/>
                <w:szCs w:val="22"/>
                <w:vertAlign w:val="baseline"/>
                <w:lang w:val="en-US" w:eastAsia="zh-CN"/>
              </w:rPr>
              <w:t>文件接收邮箱</w:t>
            </w:r>
          </w:p>
        </w:tc>
        <w:tc>
          <w:tcPr>
            <w:tcW w:w="108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bookmarkStart w:id="0" w:name="_GoBack"/>
            <w:bookmarkEnd w:id="0"/>
          </w:p>
        </w:tc>
        <w:tc>
          <w:tcPr>
            <w:tcW w:w="150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5"/>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A2FB1"/>
    <w:multiLevelType w:val="singleLevel"/>
    <w:tmpl w:val="915A2F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jM3MmM1OTIwODBhMmZhNzhiNTVmOWQyNjVhMTEifQ=="/>
  </w:docVars>
  <w:rsids>
    <w:rsidRoot w:val="00000000"/>
    <w:rsid w:val="1AA17AB6"/>
    <w:rsid w:val="212B1497"/>
    <w:rsid w:val="4AA8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1"/>
    </w:pPr>
    <w:rPr>
      <w:rFonts w:ascii="宋体" w:hAnsi="宋体" w:eastAsia="宋体" w:cs="宋体"/>
      <w:lang w:val="zh-CN" w:bidi="zh-CN"/>
    </w:rPr>
  </w:style>
  <w:style w:type="paragraph" w:styleId="3">
    <w:name w:val="Body Text Indent"/>
    <w:basedOn w:val="1"/>
    <w:next w:val="1"/>
    <w:autoRedefine/>
    <w:qFormat/>
    <w:uiPriority w:val="0"/>
    <w:pPr>
      <w:spacing w:after="120"/>
      <w:ind w:left="420" w:leftChars="200"/>
    </w:pPr>
  </w:style>
  <w:style w:type="paragraph" w:styleId="4">
    <w:name w:val="Body Text First Indent"/>
    <w:basedOn w:val="2"/>
    <w:autoRedefine/>
    <w:qFormat/>
    <w:uiPriority w:val="99"/>
    <w:pPr>
      <w:spacing w:line="360" w:lineRule="auto"/>
      <w:ind w:firstLine="420" w:firstLineChars="100"/>
    </w:pPr>
    <w:rPr>
      <w:rFonts w:hAnsi="Times New Roman"/>
      <w:szCs w:val="21"/>
    </w:rPr>
  </w:style>
  <w:style w:type="paragraph" w:styleId="5">
    <w:name w:val="Body Text First Indent 2"/>
    <w:basedOn w:val="3"/>
    <w:next w:val="1"/>
    <w:autoRedefine/>
    <w:unhideWhenUsed/>
    <w:qFormat/>
    <w:uiPriority w:val="99"/>
    <w:pPr>
      <w:ind w:firstLine="420" w:firstLineChars="200"/>
    </w:pPr>
    <w:rPr>
      <w:rFonts w:ascii="Times New Roman" w:hAnsi="Times New Roman"/>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2024-01-10T01:58:00Z</dcterms:created>
  <dc:creator>MIAO</dc:creator>
  <cp:lastModifiedBy>cai</cp:lastModifiedBy>
  <dcterms:modified xsi:type="dcterms:W3CDTF">2024-01-10T02:36:17Z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98E67A70386A4A68B0D48ABCB00F0BF6</vt:lpwstr>
  </property>
</Properties>
</file>